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EC" w:rsidRDefault="00280CEC" w:rsidP="00280CEC">
      <w:pPr>
        <w:pStyle w:val="Ttulo1"/>
        <w:shd w:val="clear" w:color="auto" w:fill="FFFFFF"/>
        <w:spacing w:before="0" w:beforeAutospacing="0" w:after="0" w:afterAutospacing="0"/>
        <w:rPr>
          <w:rFonts w:ascii="gobclregular" w:hAnsi="gobclregular"/>
          <w:b w:val="0"/>
          <w:bCs w:val="0"/>
          <w:color w:val="006CB7"/>
          <w:sz w:val="43"/>
          <w:szCs w:val="43"/>
        </w:rPr>
      </w:pPr>
      <w:r>
        <w:rPr>
          <w:rFonts w:ascii="gobclregular" w:hAnsi="gobclregular"/>
          <w:b w:val="0"/>
          <w:bCs w:val="0"/>
          <w:color w:val="006CB7"/>
          <w:sz w:val="43"/>
          <w:szCs w:val="43"/>
        </w:rPr>
        <w:t>Comprar una vivienda</w:t>
      </w:r>
      <w:r>
        <w:rPr>
          <w:rFonts w:ascii="gobclregular" w:hAnsi="gobclregular"/>
          <w:b w:val="0"/>
          <w:bCs w:val="0"/>
          <w:color w:val="233755"/>
          <w:sz w:val="30"/>
          <w:szCs w:val="30"/>
        </w:rPr>
        <w:br/>
        <w:t>Sectores Medios</w:t>
      </w:r>
    </w:p>
    <w:p w:rsidR="00280CEC" w:rsidRDefault="00280CEC" w:rsidP="00280CEC">
      <w:pPr>
        <w:shd w:val="clear" w:color="auto" w:fill="FFFFFF"/>
        <w:rPr>
          <w:rFonts w:ascii="gobclregular" w:hAnsi="gobclregular"/>
          <w:color w:val="333333"/>
          <w:sz w:val="21"/>
          <w:szCs w:val="21"/>
        </w:rPr>
      </w:pPr>
      <w:r>
        <w:rPr>
          <w:rFonts w:ascii="gobclregular" w:hAnsi="gobclregular"/>
          <w:noProof/>
          <w:color w:val="333333"/>
          <w:sz w:val="21"/>
          <w:szCs w:val="21"/>
          <w:lang w:eastAsia="es-CL"/>
        </w:rPr>
        <w:drawing>
          <wp:inline distT="0" distB="0" distL="0" distR="0">
            <wp:extent cx="2317531" cy="1539256"/>
            <wp:effectExtent l="0" t="0" r="6985" b="3810"/>
            <wp:docPr id="9" name="Imagen 9" descr="Dividendo al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ndo al dí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826" cy="1545429"/>
                    </a:xfrm>
                    <a:prstGeom prst="rect">
                      <a:avLst/>
                    </a:prstGeom>
                    <a:noFill/>
                    <a:ln>
                      <a:noFill/>
                    </a:ln>
                  </pic:spPr>
                </pic:pic>
              </a:graphicData>
            </a:graphic>
          </wp:inline>
        </w:drawing>
      </w:r>
    </w:p>
    <w:p w:rsidR="00280CEC" w:rsidRDefault="00280CEC" w:rsidP="00280CEC">
      <w:pPr>
        <w:shd w:val="clear" w:color="auto" w:fill="1F71AB"/>
        <w:rPr>
          <w:rFonts w:ascii="gobclregular" w:hAnsi="gobclregular"/>
          <w:color w:val="FFFFFF"/>
          <w:sz w:val="25"/>
          <w:szCs w:val="25"/>
        </w:rPr>
      </w:pPr>
      <w:r>
        <w:rPr>
          <w:rFonts w:ascii="gobclregular" w:hAnsi="gobclregular"/>
          <w:color w:val="FFFFFF"/>
          <w:sz w:val="25"/>
          <w:szCs w:val="25"/>
        </w:rPr>
        <w:t>Programa destinado a las familias de sectores medios que </w:t>
      </w:r>
      <w:r>
        <w:rPr>
          <w:rStyle w:val="Textoennegrita"/>
          <w:rFonts w:ascii="gobclbold" w:hAnsi="gobclbold"/>
          <w:color w:val="FFFFFF"/>
          <w:sz w:val="25"/>
          <w:szCs w:val="25"/>
        </w:rPr>
        <w:t>no son propietarias de una vivienda</w:t>
      </w:r>
      <w:r>
        <w:rPr>
          <w:rFonts w:ascii="gobclregular" w:hAnsi="gobclregular"/>
          <w:color w:val="FFFFFF"/>
          <w:sz w:val="25"/>
          <w:szCs w:val="25"/>
        </w:rPr>
        <w:t xml:space="preserve">, que tienen capacidad de ahorro y posibilidad de complementar el valor de la vivienda con recursos propios o crédito </w:t>
      </w:r>
      <w:proofErr w:type="spellStart"/>
      <w:r>
        <w:rPr>
          <w:rFonts w:ascii="gobclregular" w:hAnsi="gobclregular"/>
          <w:color w:val="FFFFFF"/>
          <w:sz w:val="25"/>
          <w:szCs w:val="25"/>
        </w:rPr>
        <w:t>hipotecario.Este</w:t>
      </w:r>
      <w:proofErr w:type="spellEnd"/>
      <w:r>
        <w:rPr>
          <w:rFonts w:ascii="gobclregular" w:hAnsi="gobclregular"/>
          <w:color w:val="FFFFFF"/>
          <w:sz w:val="25"/>
          <w:szCs w:val="25"/>
        </w:rPr>
        <w:t xml:space="preserve"> apoyo del Estado permite adquirir una </w:t>
      </w:r>
      <w:r>
        <w:rPr>
          <w:rStyle w:val="Textoennegrita"/>
          <w:rFonts w:ascii="gobclbold" w:hAnsi="gobclbold"/>
          <w:color w:val="FFFFFF"/>
          <w:sz w:val="25"/>
          <w:szCs w:val="25"/>
        </w:rPr>
        <w:t>vivienda nueva o usada</w:t>
      </w:r>
      <w:r>
        <w:rPr>
          <w:rFonts w:ascii="gobclregular" w:hAnsi="gobclregular"/>
          <w:color w:val="FFFFFF"/>
          <w:sz w:val="25"/>
          <w:szCs w:val="25"/>
        </w:rPr>
        <w:t>, en sectores urbanos o rurales, y establece tres opciones para los grupos familiares.</w:t>
      </w:r>
    </w:p>
    <w:p w:rsidR="00280CEC" w:rsidRDefault="00280CEC" w:rsidP="00280CEC">
      <w:pPr>
        <w:pStyle w:val="Ttulo2"/>
        <w:shd w:val="clear" w:color="auto" w:fill="1F71AB"/>
        <w:spacing w:before="300" w:after="150"/>
        <w:rPr>
          <w:rFonts w:ascii="inherit" w:hAnsi="inherit"/>
          <w:b w:val="0"/>
          <w:bCs w:val="0"/>
          <w:color w:val="FFFFFF"/>
          <w:sz w:val="45"/>
          <w:szCs w:val="45"/>
        </w:rPr>
      </w:pPr>
      <w:r>
        <w:rPr>
          <w:rFonts w:ascii="inherit" w:hAnsi="inherit"/>
          <w:b w:val="0"/>
          <w:bCs w:val="0"/>
          <w:color w:val="FFFFFF"/>
          <w:sz w:val="45"/>
          <w:szCs w:val="45"/>
        </w:rPr>
        <w:t>Zona Regular</w:t>
      </w:r>
    </w:p>
    <w:p w:rsidR="00280CEC" w:rsidRDefault="00280CEC" w:rsidP="00280CEC">
      <w:pPr>
        <w:shd w:val="clear" w:color="auto" w:fill="1F71AB"/>
        <w:rPr>
          <w:rFonts w:ascii="gobclregular" w:hAnsi="gobclregular"/>
          <w:color w:val="FFFFFF"/>
          <w:sz w:val="25"/>
          <w:szCs w:val="25"/>
        </w:rPr>
      </w:pPr>
      <w:r>
        <w:rPr>
          <w:rFonts w:ascii="gobclregular" w:hAnsi="gobclregular"/>
          <w:color w:val="FFFFFF"/>
          <w:sz w:val="25"/>
          <w:szCs w:val="25"/>
        </w:rPr>
        <w:t>Regiones de Coquimbo a Los Lagos.</w:t>
      </w:r>
    </w:p>
    <w:tbl>
      <w:tblPr>
        <w:tblW w:w="5028" w:type="pct"/>
        <w:tblCellMar>
          <w:left w:w="0" w:type="dxa"/>
          <w:right w:w="0" w:type="dxa"/>
        </w:tblCellMar>
        <w:tblLook w:val="04A0" w:firstRow="1" w:lastRow="0" w:firstColumn="1" w:lastColumn="0" w:noHBand="0" w:noVBand="1"/>
      </w:tblPr>
      <w:tblGrid>
        <w:gridCol w:w="2306"/>
        <w:gridCol w:w="2960"/>
        <w:gridCol w:w="2007"/>
        <w:gridCol w:w="1765"/>
      </w:tblGrid>
      <w:tr w:rsidR="00280CEC" w:rsidTr="00280CEC">
        <w:trPr>
          <w:trHeight w:val="361"/>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Opciones de subsidio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Valor máx. de la vivienda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Monto subsidio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Ahorro mínimo</w:t>
            </w:r>
          </w:p>
        </w:tc>
      </w:tr>
      <w:tr w:rsidR="00280CEC" w:rsidTr="00280CEC">
        <w:trPr>
          <w:trHeight w:val="361"/>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Título I tramo 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1.000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500 UF (fijo)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30 UF</w:t>
            </w:r>
          </w:p>
        </w:tc>
      </w:tr>
      <w:tr w:rsidR="00280CEC" w:rsidTr="00280CEC">
        <w:trPr>
          <w:trHeight w:val="378"/>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Título I tramo 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1.400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entre 516 y 200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40 UF</w:t>
            </w:r>
          </w:p>
        </w:tc>
      </w:tr>
      <w:tr w:rsidR="00280CEC" w:rsidTr="00280CEC">
        <w:trPr>
          <w:trHeight w:val="286"/>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Título II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2.200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entre 350 y 125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80 UF</w:t>
            </w:r>
          </w:p>
        </w:tc>
      </w:tr>
    </w:tbl>
    <w:p w:rsidR="00280CEC" w:rsidRDefault="00280CEC" w:rsidP="00280CEC">
      <w:pPr>
        <w:shd w:val="clear" w:color="auto" w:fill="1F71AB"/>
        <w:rPr>
          <w:rFonts w:ascii="gobclregular" w:hAnsi="gobclregular"/>
          <w:color w:val="FFFFFF"/>
          <w:sz w:val="25"/>
          <w:szCs w:val="25"/>
        </w:rPr>
      </w:pPr>
      <w:r>
        <w:rPr>
          <w:rFonts w:ascii="gobclregular" w:hAnsi="gobclregular"/>
          <w:color w:val="FFFFFF"/>
          <w:sz w:val="25"/>
          <w:szCs w:val="25"/>
        </w:rPr>
        <w:t> Provincia de Chiloé</w:t>
      </w:r>
    </w:p>
    <w:tbl>
      <w:tblPr>
        <w:tblW w:w="5000" w:type="pct"/>
        <w:tblCellMar>
          <w:left w:w="0" w:type="dxa"/>
          <w:right w:w="0" w:type="dxa"/>
        </w:tblCellMar>
        <w:tblLook w:val="04A0" w:firstRow="1" w:lastRow="0" w:firstColumn="1" w:lastColumn="0" w:noHBand="0" w:noVBand="1"/>
      </w:tblPr>
      <w:tblGrid>
        <w:gridCol w:w="2285"/>
        <w:gridCol w:w="2933"/>
        <w:gridCol w:w="2021"/>
        <w:gridCol w:w="1749"/>
      </w:tblGrid>
      <w:tr w:rsidR="00280CEC" w:rsidTr="00280CE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Opciones de subsidio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Valor máx. de la vivienda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Monto de subsidio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Ahorro mínimo</w:t>
            </w:r>
          </w:p>
        </w:tc>
      </w:tr>
      <w:tr w:rsidR="00280CEC" w:rsidTr="00280CE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Título I tramo 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1.000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600 UF (fijo)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30 UF</w:t>
            </w:r>
          </w:p>
        </w:tc>
      </w:tr>
      <w:tr w:rsidR="00280CEC" w:rsidTr="00280CE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Título I tramo 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1.600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entre 589 y 225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40 UF</w:t>
            </w:r>
          </w:p>
        </w:tc>
      </w:tr>
      <w:tr w:rsidR="00280CEC" w:rsidTr="00280CE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rFonts w:ascii="gobclbold" w:hAnsi="gobclbold"/>
                <w:b/>
                <w:bCs/>
                <w:sz w:val="23"/>
                <w:szCs w:val="23"/>
              </w:rPr>
            </w:pPr>
            <w:r>
              <w:rPr>
                <w:rFonts w:ascii="gobclbold" w:hAnsi="gobclbold"/>
                <w:b/>
                <w:bCs/>
                <w:sz w:val="23"/>
                <w:szCs w:val="23"/>
              </w:rPr>
              <w:t>Título II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2.400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entre 450 y 140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280CEC" w:rsidRDefault="00280CEC">
            <w:pPr>
              <w:jc w:val="center"/>
              <w:rPr>
                <w:sz w:val="23"/>
                <w:szCs w:val="23"/>
              </w:rPr>
            </w:pPr>
            <w:r>
              <w:rPr>
                <w:sz w:val="23"/>
                <w:szCs w:val="23"/>
              </w:rPr>
              <w:t>80 UF</w:t>
            </w:r>
          </w:p>
        </w:tc>
      </w:tr>
    </w:tbl>
    <w:p w:rsidR="00280CEC" w:rsidRDefault="00280CEC" w:rsidP="00280CEC">
      <w:pPr>
        <w:pStyle w:val="Ttulo1"/>
        <w:shd w:val="clear" w:color="auto" w:fill="EEFDFF"/>
        <w:spacing w:before="300" w:beforeAutospacing="0" w:after="150" w:afterAutospacing="0"/>
        <w:rPr>
          <w:rFonts w:ascii="inherit" w:hAnsi="inherit"/>
          <w:b w:val="0"/>
          <w:bCs w:val="0"/>
          <w:color w:val="198CCD"/>
          <w:sz w:val="40"/>
          <w:szCs w:val="40"/>
        </w:rPr>
      </w:pPr>
      <w:r>
        <w:rPr>
          <w:rFonts w:ascii="inherit" w:hAnsi="inherit"/>
          <w:b w:val="0"/>
          <w:bCs w:val="0"/>
          <w:color w:val="198CCD"/>
          <w:sz w:val="40"/>
          <w:szCs w:val="40"/>
        </w:rPr>
        <w:lastRenderedPageBreak/>
        <w:t xml:space="preserve">POSTULACIÓN </w:t>
      </w:r>
      <w:proofErr w:type="gramStart"/>
      <w:r>
        <w:rPr>
          <w:rFonts w:ascii="inherit" w:hAnsi="inherit"/>
          <w:b w:val="0"/>
          <w:bCs w:val="0"/>
          <w:color w:val="198CCD"/>
          <w:sz w:val="40"/>
          <w:szCs w:val="40"/>
        </w:rPr>
        <w:t>paso</w:t>
      </w:r>
      <w:proofErr w:type="gramEnd"/>
      <w:r>
        <w:rPr>
          <w:rFonts w:ascii="inherit" w:hAnsi="inherit"/>
          <w:b w:val="0"/>
          <w:bCs w:val="0"/>
          <w:color w:val="198CCD"/>
          <w:sz w:val="40"/>
          <w:szCs w:val="40"/>
        </w:rPr>
        <w:t xml:space="preserve"> a paso</w:t>
      </w:r>
    </w:p>
    <w:p w:rsidR="00280CEC" w:rsidRDefault="00280CEC" w:rsidP="00280CEC">
      <w:pPr>
        <w:numPr>
          <w:ilvl w:val="0"/>
          <w:numId w:val="3"/>
        </w:numPr>
        <w:shd w:val="clear" w:color="auto" w:fill="EEFDFF"/>
        <w:spacing w:before="100" w:beforeAutospacing="1" w:after="100" w:afterAutospacing="1" w:line="240" w:lineRule="auto"/>
        <w:rPr>
          <w:rFonts w:ascii="gobclregular" w:hAnsi="gobclregular"/>
          <w:color w:val="198CCD"/>
          <w:sz w:val="25"/>
          <w:szCs w:val="25"/>
        </w:rPr>
      </w:pPr>
      <w:r>
        <w:rPr>
          <w:rFonts w:ascii="gobclregular" w:hAnsi="gobclregular"/>
          <w:color w:val="198CCD"/>
          <w:sz w:val="25"/>
          <w:szCs w:val="25"/>
        </w:rPr>
        <w:t xml:space="preserve">Conozca el porcentaje de calificación </w:t>
      </w:r>
      <w:proofErr w:type="spellStart"/>
      <w:r>
        <w:rPr>
          <w:rFonts w:ascii="gobclregular" w:hAnsi="gobclregular"/>
          <w:color w:val="198CCD"/>
          <w:sz w:val="25"/>
          <w:szCs w:val="25"/>
        </w:rPr>
        <w:t>socieconómica</w:t>
      </w:r>
      <w:proofErr w:type="spellEnd"/>
      <w:r>
        <w:rPr>
          <w:rFonts w:ascii="gobclregular" w:hAnsi="gobclregular"/>
          <w:color w:val="198CCD"/>
          <w:sz w:val="25"/>
          <w:szCs w:val="25"/>
        </w:rPr>
        <w:t xml:space="preserve"> de su Registro Social de Hogares (RSH). Para ello puede visitar </w:t>
      </w:r>
      <w:hyperlink r:id="rId9" w:history="1">
        <w:r>
          <w:rPr>
            <w:rStyle w:val="Hipervnculo"/>
            <w:rFonts w:ascii="gobclregular" w:hAnsi="gobclregular"/>
            <w:color w:val="337AB7"/>
            <w:sz w:val="25"/>
            <w:szCs w:val="25"/>
          </w:rPr>
          <w:t>www.registrosocial.gob.cl</w:t>
        </w:r>
      </w:hyperlink>
      <w:r>
        <w:rPr>
          <w:rFonts w:ascii="gobclregular" w:hAnsi="gobclregular"/>
          <w:color w:val="198CCD"/>
          <w:sz w:val="25"/>
          <w:szCs w:val="25"/>
        </w:rPr>
        <w:t>, llamar al 800 104777 o dirigirse a su municipalidad.</w:t>
      </w:r>
    </w:p>
    <w:p w:rsidR="00280CEC" w:rsidRDefault="00280CEC" w:rsidP="00280CEC">
      <w:pPr>
        <w:numPr>
          <w:ilvl w:val="0"/>
          <w:numId w:val="3"/>
        </w:numPr>
        <w:shd w:val="clear" w:color="auto" w:fill="EEFDFF"/>
        <w:spacing w:before="100" w:beforeAutospacing="1" w:after="100" w:afterAutospacing="1" w:line="240" w:lineRule="auto"/>
        <w:rPr>
          <w:rFonts w:ascii="gobclregular" w:hAnsi="gobclregular"/>
          <w:color w:val="198CCD"/>
          <w:sz w:val="25"/>
          <w:szCs w:val="25"/>
        </w:rPr>
      </w:pPr>
      <w:r>
        <w:rPr>
          <w:rFonts w:ascii="gobclregular" w:hAnsi="gobclregular"/>
          <w:color w:val="198CCD"/>
          <w:sz w:val="25"/>
          <w:szCs w:val="25"/>
        </w:rPr>
        <w:t>Infórmese y solicite orientación sobre los programas del ministerio y consulte por las </w:t>
      </w:r>
      <w:hyperlink r:id="rId10" w:history="1">
        <w:r>
          <w:rPr>
            <w:rStyle w:val="Hipervnculo"/>
            <w:rFonts w:ascii="gobclregular" w:hAnsi="gobclregular"/>
            <w:color w:val="337AB7"/>
            <w:sz w:val="25"/>
            <w:szCs w:val="25"/>
          </w:rPr>
          <w:t>fechas de postulación</w:t>
        </w:r>
      </w:hyperlink>
      <w:r>
        <w:rPr>
          <w:rFonts w:ascii="gobclregular" w:hAnsi="gobclregular"/>
          <w:color w:val="198CCD"/>
          <w:sz w:val="25"/>
          <w:szCs w:val="25"/>
        </w:rPr>
        <w:t>.</w:t>
      </w:r>
    </w:p>
    <w:p w:rsidR="00280CEC" w:rsidRDefault="00280CEC" w:rsidP="00280CEC">
      <w:pPr>
        <w:numPr>
          <w:ilvl w:val="0"/>
          <w:numId w:val="3"/>
        </w:numPr>
        <w:shd w:val="clear" w:color="auto" w:fill="EEFDFF"/>
        <w:spacing w:before="100" w:beforeAutospacing="1" w:after="100" w:afterAutospacing="1" w:line="240" w:lineRule="auto"/>
        <w:rPr>
          <w:rFonts w:ascii="gobclregular" w:hAnsi="gobclregular"/>
          <w:color w:val="198CCD"/>
          <w:sz w:val="25"/>
          <w:szCs w:val="25"/>
        </w:rPr>
      </w:pPr>
      <w:r>
        <w:rPr>
          <w:rFonts w:ascii="gobclregular" w:hAnsi="gobclregular"/>
          <w:color w:val="198CCD"/>
          <w:sz w:val="25"/>
          <w:szCs w:val="25"/>
        </w:rPr>
        <w:t>Abra una cuenta de Ahorro para la Vivienda y deposite en ella su ahorro. La cuenta debe tener al menos 12 meses de antigüedad al momento de postular.</w:t>
      </w:r>
    </w:p>
    <w:p w:rsidR="00280CEC" w:rsidRDefault="00280CEC" w:rsidP="00280CEC">
      <w:pPr>
        <w:numPr>
          <w:ilvl w:val="0"/>
          <w:numId w:val="3"/>
        </w:numPr>
        <w:shd w:val="clear" w:color="auto" w:fill="EEFDFF"/>
        <w:spacing w:before="100" w:beforeAutospacing="1" w:after="100" w:afterAutospacing="1" w:line="240" w:lineRule="auto"/>
        <w:rPr>
          <w:rFonts w:ascii="gobclregular" w:hAnsi="gobclregular"/>
          <w:color w:val="198CCD"/>
          <w:sz w:val="25"/>
          <w:szCs w:val="25"/>
        </w:rPr>
      </w:pPr>
      <w:r>
        <w:rPr>
          <w:rFonts w:ascii="gobclregular" w:hAnsi="gobclregular"/>
          <w:color w:val="198CCD"/>
          <w:sz w:val="25"/>
          <w:szCs w:val="25"/>
        </w:rPr>
        <w:t xml:space="preserve">Reserve previamente un día y lugar para postular de manera presencial (en www.minvu.cl o llamando a </w:t>
      </w:r>
      <w:proofErr w:type="spellStart"/>
      <w:r>
        <w:rPr>
          <w:rFonts w:ascii="gobclregular" w:hAnsi="gobclregular"/>
          <w:color w:val="198CCD"/>
          <w:sz w:val="25"/>
          <w:szCs w:val="25"/>
        </w:rPr>
        <w:t>MinvuAló</w:t>
      </w:r>
      <w:proofErr w:type="spellEnd"/>
      <w:r>
        <w:rPr>
          <w:rFonts w:ascii="gobclregular" w:hAnsi="gobclregular"/>
          <w:color w:val="198CCD"/>
          <w:sz w:val="25"/>
          <w:szCs w:val="25"/>
        </w:rPr>
        <w:t>).</w:t>
      </w:r>
    </w:p>
    <w:p w:rsidR="00280CEC" w:rsidRDefault="00280CEC" w:rsidP="00280CEC">
      <w:pPr>
        <w:numPr>
          <w:ilvl w:val="0"/>
          <w:numId w:val="3"/>
        </w:numPr>
        <w:shd w:val="clear" w:color="auto" w:fill="EEFDFF"/>
        <w:spacing w:before="100" w:beforeAutospacing="1" w:after="100" w:afterAutospacing="1" w:line="240" w:lineRule="auto"/>
        <w:rPr>
          <w:rFonts w:ascii="gobclregular" w:hAnsi="gobclregular"/>
          <w:color w:val="198CCD"/>
          <w:sz w:val="25"/>
          <w:szCs w:val="25"/>
        </w:rPr>
      </w:pPr>
      <w:r>
        <w:rPr>
          <w:rFonts w:ascii="gobclregular" w:hAnsi="gobclregular"/>
          <w:color w:val="198CCD"/>
          <w:sz w:val="25"/>
          <w:szCs w:val="25"/>
        </w:rPr>
        <w:t xml:space="preserve">El trámite de postulación se puede hacer por internet o personalmente en las Oficinas de Atención Presencial del </w:t>
      </w:r>
      <w:proofErr w:type="spellStart"/>
      <w:r>
        <w:rPr>
          <w:rFonts w:ascii="gobclregular" w:hAnsi="gobclregular"/>
          <w:color w:val="198CCD"/>
          <w:sz w:val="25"/>
          <w:szCs w:val="25"/>
        </w:rPr>
        <w:t>Serviu</w:t>
      </w:r>
      <w:proofErr w:type="spellEnd"/>
      <w:r>
        <w:rPr>
          <w:rFonts w:ascii="gobclregular" w:hAnsi="gobclregular"/>
          <w:color w:val="198CCD"/>
          <w:sz w:val="25"/>
          <w:szCs w:val="25"/>
        </w:rPr>
        <w:t>, o en las instituciones públicas que este organismo habilite para estos efectos.</w:t>
      </w:r>
    </w:p>
    <w:p w:rsidR="00280CEC" w:rsidRDefault="00280CEC" w:rsidP="00280CEC">
      <w:pPr>
        <w:pStyle w:val="Ttulo1"/>
        <w:shd w:val="clear" w:color="auto" w:fill="EEFDFF"/>
        <w:spacing w:before="300" w:beforeAutospacing="0" w:after="150" w:afterAutospacing="0"/>
        <w:rPr>
          <w:rFonts w:ascii="inherit" w:hAnsi="inherit"/>
          <w:b w:val="0"/>
          <w:bCs w:val="0"/>
          <w:color w:val="198CCD"/>
          <w:sz w:val="40"/>
          <w:szCs w:val="40"/>
        </w:rPr>
      </w:pPr>
      <w:r>
        <w:rPr>
          <w:rFonts w:ascii="inherit" w:hAnsi="inherit"/>
          <w:b w:val="0"/>
          <w:bCs w:val="0"/>
          <w:color w:val="198CCD"/>
          <w:sz w:val="40"/>
          <w:szCs w:val="40"/>
        </w:rPr>
        <w:t>¿CÓMO SE FINANCIA la compra de una vivienda?</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93"/>
        <w:gridCol w:w="424"/>
        <w:gridCol w:w="2306"/>
        <w:gridCol w:w="424"/>
        <w:gridCol w:w="3841"/>
      </w:tblGrid>
      <w:tr w:rsidR="00280CEC" w:rsidTr="00280CE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280CEC" w:rsidRDefault="00280CEC">
            <w:pPr>
              <w:jc w:val="center"/>
              <w:rPr>
                <w:sz w:val="23"/>
                <w:szCs w:val="23"/>
              </w:rPr>
            </w:pPr>
            <w:r>
              <w:rPr>
                <w:noProof/>
                <w:sz w:val="23"/>
                <w:szCs w:val="23"/>
                <w:lang w:eastAsia="es-CL"/>
              </w:rPr>
              <w:drawing>
                <wp:inline distT="0" distB="0" distL="0" distR="0">
                  <wp:extent cx="428625" cy="485775"/>
                  <wp:effectExtent l="0" t="0" r="9525" b="9525"/>
                  <wp:docPr id="8" name="Imagen 8" descr="http://beneficios.minvu.gob.cl/wp-content/themes/minvu/img/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neficios.minvu.gob.cl/wp-content/themes/minvu/img/f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r>
              <w:rPr>
                <w:sz w:val="23"/>
                <w:szCs w:val="23"/>
              </w:rPr>
              <w:t>Ahorro mínimo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280CEC" w:rsidRDefault="00280CEC">
            <w:pPr>
              <w:jc w:val="center"/>
              <w:rPr>
                <w:sz w:val="55"/>
                <w:szCs w:val="55"/>
              </w:rPr>
            </w:pPr>
            <w:r>
              <w:rPr>
                <w:sz w:val="55"/>
                <w:szCs w:val="55"/>
              </w:rPr>
              <w:t>+</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280CEC" w:rsidRDefault="00280CEC">
            <w:pPr>
              <w:jc w:val="center"/>
              <w:rPr>
                <w:sz w:val="23"/>
                <w:szCs w:val="23"/>
              </w:rPr>
            </w:pPr>
            <w:r>
              <w:rPr>
                <w:noProof/>
                <w:sz w:val="23"/>
                <w:szCs w:val="23"/>
                <w:lang w:eastAsia="es-CL"/>
              </w:rPr>
              <w:drawing>
                <wp:inline distT="0" distB="0" distL="0" distR="0">
                  <wp:extent cx="504825" cy="342900"/>
                  <wp:effectExtent l="0" t="0" r="9525" b="0"/>
                  <wp:docPr id="7" name="Imagen 7" descr="http://beneficios.minvu.gob.cl/wp-content/themes/minvu/img/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neficios.minvu.gob.cl/wp-content/themes/minvu/img/f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Pr>
                <w:sz w:val="23"/>
                <w:szCs w:val="23"/>
              </w:rPr>
              <w:t>Aporte del Estado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280CEC" w:rsidRDefault="00280CEC">
            <w:pPr>
              <w:jc w:val="center"/>
              <w:rPr>
                <w:sz w:val="55"/>
                <w:szCs w:val="55"/>
              </w:rPr>
            </w:pPr>
            <w:r>
              <w:rPr>
                <w:sz w:val="55"/>
                <w:szCs w:val="55"/>
              </w:rPr>
              <w:t>+</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280CEC" w:rsidRDefault="00280CEC">
            <w:pPr>
              <w:jc w:val="center"/>
              <w:rPr>
                <w:sz w:val="23"/>
                <w:szCs w:val="23"/>
              </w:rPr>
            </w:pPr>
            <w:r>
              <w:rPr>
                <w:noProof/>
                <w:sz w:val="23"/>
                <w:szCs w:val="23"/>
                <w:lang w:eastAsia="es-CL"/>
              </w:rPr>
              <w:drawing>
                <wp:inline distT="0" distB="0" distL="0" distR="0">
                  <wp:extent cx="428625" cy="295275"/>
                  <wp:effectExtent l="0" t="0" r="9525" b="9525"/>
                  <wp:docPr id="6" name="Imagen 6" descr="http://beneficios.minvu.gob.cl/wp-content/themes/minvu/img/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eneficios.minvu.gob.cl/wp-content/themes/minvu/img/f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Pr>
                <w:sz w:val="23"/>
                <w:szCs w:val="23"/>
              </w:rPr>
              <w:t>Recursos propios o Crédito hipotecario</w:t>
            </w:r>
          </w:p>
        </w:tc>
      </w:tr>
    </w:tbl>
    <w:p w:rsidR="00280CEC" w:rsidRDefault="00280CEC" w:rsidP="00280CEC">
      <w:pPr>
        <w:pStyle w:val="Ttulo1"/>
        <w:shd w:val="clear" w:color="auto" w:fill="FFFFFF"/>
        <w:spacing w:before="300" w:beforeAutospacing="0" w:after="150" w:afterAutospacing="0"/>
        <w:rPr>
          <w:rFonts w:ascii="inherit" w:hAnsi="inherit"/>
          <w:b w:val="0"/>
          <w:bCs w:val="0"/>
          <w:color w:val="333333"/>
          <w:sz w:val="40"/>
          <w:szCs w:val="40"/>
        </w:rPr>
      </w:pPr>
      <w:r>
        <w:rPr>
          <w:rFonts w:ascii="inherit" w:hAnsi="inherit"/>
          <w:b w:val="0"/>
          <w:bCs w:val="0"/>
          <w:color w:val="333333"/>
          <w:sz w:val="40"/>
          <w:szCs w:val="40"/>
        </w:rPr>
        <w:t>REQUISITOS GENERALES para postular</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Tener mínimo </w:t>
      </w:r>
      <w:r>
        <w:rPr>
          <w:rFonts w:ascii="gobclbold" w:hAnsi="gobclbold"/>
          <w:b/>
          <w:bCs/>
          <w:color w:val="333333"/>
          <w:sz w:val="25"/>
          <w:szCs w:val="25"/>
        </w:rPr>
        <w:t>18 años de edad.</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 xml:space="preserve">Contar con Cédula Nacional de Identidad vigente. Las personas extranjeras deben presentar, además, Certificado de Permanencia Definitiva emitido por el Departamento de Extranjería del Ministerio del Interior o por Policía de </w:t>
      </w:r>
      <w:proofErr w:type="spellStart"/>
      <w:r>
        <w:rPr>
          <w:rFonts w:ascii="gobclregular" w:hAnsi="gobclregular"/>
          <w:color w:val="333333"/>
          <w:sz w:val="25"/>
          <w:szCs w:val="25"/>
        </w:rPr>
        <w:t>Inve¬stigaciones</w:t>
      </w:r>
      <w:proofErr w:type="spellEnd"/>
      <w:r>
        <w:rPr>
          <w:rFonts w:ascii="gobclregular" w:hAnsi="gobclregular"/>
          <w:color w:val="333333"/>
          <w:sz w:val="25"/>
          <w:szCs w:val="25"/>
        </w:rPr>
        <w:t xml:space="preserve"> de Chile (máximo de 90 días).</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Acreditar una cuenta de ahorro de, al menos, 12 meses de antigüedad.</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Acreditar que el ahorro exigido esté depositado en la cuenta para la vivienda, al último día del mes anterior a la postulación. A partir de esa fecha no deberá efectuar giros en la cuenta.</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 xml:space="preserve">No superar el porcentaje de calificación socioeconómica del Registro Social de Hogares (RSH), correspondiente al título de subsidio al que desea </w:t>
      </w:r>
      <w:proofErr w:type="spellStart"/>
      <w:r>
        <w:rPr>
          <w:rFonts w:ascii="gobclregular" w:hAnsi="gobclregular"/>
          <w:color w:val="333333"/>
          <w:sz w:val="25"/>
          <w:szCs w:val="25"/>
        </w:rPr>
        <w:t>postular:a</w:t>
      </w:r>
      <w:proofErr w:type="spellEnd"/>
      <w:r>
        <w:rPr>
          <w:rFonts w:ascii="gobclregular" w:hAnsi="gobclregular"/>
          <w:color w:val="333333"/>
          <w:sz w:val="25"/>
          <w:szCs w:val="25"/>
        </w:rPr>
        <w:t>) Título I tramo 1: dentro del </w:t>
      </w:r>
      <w:r>
        <w:rPr>
          <w:rStyle w:val="Textoennegrita"/>
          <w:rFonts w:ascii="gobclbold" w:hAnsi="gobclbold"/>
          <w:color w:val="333333"/>
          <w:sz w:val="25"/>
          <w:szCs w:val="25"/>
        </w:rPr>
        <w:t xml:space="preserve">60% de vulnerabilidad </w:t>
      </w:r>
      <w:proofErr w:type="spellStart"/>
      <w:r>
        <w:rPr>
          <w:rStyle w:val="Textoennegrita"/>
          <w:rFonts w:ascii="gobclbold" w:hAnsi="gobclbold"/>
          <w:color w:val="333333"/>
          <w:sz w:val="25"/>
          <w:szCs w:val="25"/>
        </w:rPr>
        <w:t>socioeconómica.</w:t>
      </w:r>
      <w:r>
        <w:rPr>
          <w:rFonts w:ascii="gobclregular" w:hAnsi="gobclregular"/>
          <w:color w:val="333333"/>
          <w:sz w:val="25"/>
          <w:szCs w:val="25"/>
        </w:rPr>
        <w:t>b</w:t>
      </w:r>
      <w:proofErr w:type="spellEnd"/>
      <w:r>
        <w:rPr>
          <w:rFonts w:ascii="gobclregular" w:hAnsi="gobclregular"/>
          <w:color w:val="333333"/>
          <w:sz w:val="25"/>
          <w:szCs w:val="25"/>
        </w:rPr>
        <w:t>) Título I tramo 2: dentro del </w:t>
      </w:r>
      <w:r>
        <w:rPr>
          <w:rStyle w:val="Textoennegrita"/>
          <w:rFonts w:ascii="gobclbold" w:hAnsi="gobclbold"/>
          <w:color w:val="333333"/>
          <w:sz w:val="25"/>
          <w:szCs w:val="25"/>
        </w:rPr>
        <w:t xml:space="preserve">80% de vulnerabilidad </w:t>
      </w:r>
      <w:proofErr w:type="spellStart"/>
      <w:r>
        <w:rPr>
          <w:rStyle w:val="Textoennegrita"/>
          <w:rFonts w:ascii="gobclbold" w:hAnsi="gobclbold"/>
          <w:color w:val="333333"/>
          <w:sz w:val="25"/>
          <w:szCs w:val="25"/>
        </w:rPr>
        <w:t>socioeconómica.</w:t>
      </w:r>
      <w:r>
        <w:rPr>
          <w:rFonts w:ascii="gobclregular" w:hAnsi="gobclregular"/>
          <w:color w:val="333333"/>
          <w:sz w:val="25"/>
          <w:szCs w:val="25"/>
        </w:rPr>
        <w:t>c</w:t>
      </w:r>
      <w:proofErr w:type="spellEnd"/>
      <w:r>
        <w:rPr>
          <w:rFonts w:ascii="gobclregular" w:hAnsi="gobclregular"/>
          <w:color w:val="333333"/>
          <w:sz w:val="25"/>
          <w:szCs w:val="25"/>
        </w:rPr>
        <w:t>) Título II: dentro del </w:t>
      </w:r>
      <w:r>
        <w:rPr>
          <w:rStyle w:val="Textoennegrita"/>
          <w:rFonts w:ascii="gobclbold" w:hAnsi="gobclbold"/>
          <w:color w:val="333333"/>
          <w:sz w:val="25"/>
          <w:szCs w:val="25"/>
        </w:rPr>
        <w:t xml:space="preserve">90% de vulnerabilidad </w:t>
      </w:r>
      <w:proofErr w:type="spellStart"/>
      <w:r>
        <w:rPr>
          <w:rStyle w:val="Textoennegrita"/>
          <w:rFonts w:ascii="gobclbold" w:hAnsi="gobclbold"/>
          <w:color w:val="333333"/>
          <w:sz w:val="25"/>
          <w:szCs w:val="25"/>
        </w:rPr>
        <w:t>socioeconómica.</w:t>
      </w:r>
      <w:r>
        <w:rPr>
          <w:rFonts w:ascii="gobclregular" w:hAnsi="gobclregular"/>
          <w:color w:val="333333"/>
          <w:sz w:val="25"/>
          <w:szCs w:val="25"/>
        </w:rPr>
        <w:t>d</w:t>
      </w:r>
      <w:proofErr w:type="spellEnd"/>
      <w:r>
        <w:rPr>
          <w:rFonts w:ascii="gobclregular" w:hAnsi="gobclregular"/>
          <w:color w:val="333333"/>
          <w:sz w:val="25"/>
          <w:szCs w:val="25"/>
        </w:rPr>
        <w:t xml:space="preserve">) Los Adultos Mayores que postulen al Título I (tramo 1 </w:t>
      </w:r>
      <w:proofErr w:type="spellStart"/>
      <w:r>
        <w:rPr>
          <w:rFonts w:ascii="gobclregular" w:hAnsi="gobclregular"/>
          <w:color w:val="333333"/>
          <w:sz w:val="25"/>
          <w:szCs w:val="25"/>
        </w:rPr>
        <w:t>ó</w:t>
      </w:r>
      <w:proofErr w:type="spellEnd"/>
      <w:r>
        <w:rPr>
          <w:rFonts w:ascii="gobclregular" w:hAnsi="gobclregular"/>
          <w:color w:val="333333"/>
          <w:sz w:val="25"/>
          <w:szCs w:val="25"/>
        </w:rPr>
        <w:t xml:space="preserve"> 2), podrán pertenecer hasta el 90% más vulnerable de la población según el RSH.</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lastRenderedPageBreak/>
        <w:t xml:space="preserve">Para los casos b) y c), las personas deberán contar, además, con una </w:t>
      </w:r>
      <w:proofErr w:type="spellStart"/>
      <w:r>
        <w:rPr>
          <w:rFonts w:ascii="gobclregular" w:hAnsi="gobclregular"/>
          <w:color w:val="333333"/>
          <w:sz w:val="25"/>
          <w:szCs w:val="25"/>
        </w:rPr>
        <w:t>preaprobación</w:t>
      </w:r>
      <w:proofErr w:type="spellEnd"/>
      <w:r>
        <w:rPr>
          <w:rFonts w:ascii="gobclregular" w:hAnsi="gobclregular"/>
          <w:color w:val="333333"/>
          <w:sz w:val="25"/>
          <w:szCs w:val="25"/>
        </w:rPr>
        <w:t xml:space="preserve"> de crédito hipotecario, emitida por una entidad crediticia (bancos, cooperativas, etc.).</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En caso de postular colectivamente el grupo debe:</w:t>
      </w:r>
    </w:p>
    <w:p w:rsidR="00280CEC" w:rsidRDefault="00280CEC" w:rsidP="00280CEC">
      <w:pPr>
        <w:numPr>
          <w:ilvl w:val="1"/>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Tener un mínimo de 10 integrantes.</w:t>
      </w:r>
    </w:p>
    <w:p w:rsidR="00280CEC" w:rsidRDefault="00280CEC" w:rsidP="00280CEC">
      <w:pPr>
        <w:numPr>
          <w:ilvl w:val="1"/>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 xml:space="preserve">Postular a través de una Entidad </w:t>
      </w:r>
      <w:proofErr w:type="spellStart"/>
      <w:r>
        <w:rPr>
          <w:rFonts w:ascii="gobclregular" w:hAnsi="gobclregular"/>
          <w:color w:val="333333"/>
          <w:sz w:val="25"/>
          <w:szCs w:val="25"/>
        </w:rPr>
        <w:t>Patrocinante</w:t>
      </w:r>
      <w:proofErr w:type="spellEnd"/>
      <w:r>
        <w:rPr>
          <w:rFonts w:ascii="gobclregular" w:hAnsi="gobclregular"/>
          <w:color w:val="333333"/>
          <w:sz w:val="25"/>
          <w:szCs w:val="25"/>
        </w:rPr>
        <w:t>.</w:t>
      </w:r>
    </w:p>
    <w:p w:rsidR="00280CEC" w:rsidRDefault="00280CEC" w:rsidP="00280CEC">
      <w:pPr>
        <w:numPr>
          <w:ilvl w:val="1"/>
          <w:numId w:val="4"/>
        </w:numPr>
        <w:shd w:val="clear" w:color="auto" w:fill="FFFFFF"/>
        <w:spacing w:before="100" w:beforeAutospacing="1" w:after="100" w:afterAutospacing="1" w:line="240" w:lineRule="auto"/>
        <w:rPr>
          <w:rFonts w:ascii="gobclregular" w:hAnsi="gobclregular"/>
          <w:color w:val="333333"/>
          <w:sz w:val="25"/>
          <w:szCs w:val="25"/>
        </w:rPr>
      </w:pPr>
      <w:r>
        <w:rPr>
          <w:rFonts w:ascii="gobclregular" w:hAnsi="gobclregular"/>
          <w:color w:val="333333"/>
          <w:sz w:val="25"/>
          <w:szCs w:val="25"/>
        </w:rPr>
        <w:t xml:space="preserve">Contar con un proyecto habitacional aprobado por el </w:t>
      </w:r>
      <w:proofErr w:type="spellStart"/>
      <w:r>
        <w:rPr>
          <w:rFonts w:ascii="gobclregular" w:hAnsi="gobclregular"/>
          <w:color w:val="333333"/>
          <w:sz w:val="25"/>
          <w:szCs w:val="25"/>
        </w:rPr>
        <w:t>Serviu</w:t>
      </w:r>
      <w:proofErr w:type="spellEnd"/>
      <w:r>
        <w:rPr>
          <w:rFonts w:ascii="gobclregular" w:hAnsi="gobclregular"/>
          <w:color w:val="333333"/>
          <w:sz w:val="25"/>
          <w:szCs w:val="25"/>
        </w:rPr>
        <w:t>.</w:t>
      </w:r>
    </w:p>
    <w:p w:rsidR="00280CEC" w:rsidRDefault="00280CEC" w:rsidP="00280CEC">
      <w:pPr>
        <w:numPr>
          <w:ilvl w:val="0"/>
          <w:numId w:val="4"/>
        </w:numPr>
        <w:shd w:val="clear" w:color="auto" w:fill="FFFFFF"/>
        <w:spacing w:before="100" w:beforeAutospacing="1" w:after="100" w:afterAutospacing="1" w:line="240" w:lineRule="auto"/>
        <w:rPr>
          <w:rFonts w:ascii="gobclregular" w:hAnsi="gobclregular"/>
          <w:color w:val="333333"/>
          <w:sz w:val="25"/>
          <w:szCs w:val="25"/>
        </w:rPr>
      </w:pPr>
      <w:r>
        <w:rPr>
          <w:rStyle w:val="Textoennegrita"/>
          <w:rFonts w:ascii="gobclbold" w:hAnsi="gobclbold"/>
          <w:color w:val="333333"/>
          <w:sz w:val="25"/>
          <w:szCs w:val="25"/>
        </w:rPr>
        <w:t>Pueden postular sin RSH al Título II aquellas chilenas o chilenos que vivan,  a lo menos, desde hace cinco años en el exterior.</w:t>
      </w:r>
      <w:r>
        <w:rPr>
          <w:rFonts w:ascii="gobclregular" w:hAnsi="gobclregular"/>
          <w:color w:val="333333"/>
          <w:sz w:val="25"/>
          <w:szCs w:val="25"/>
        </w:rPr>
        <w:t> Para ello deben presentar un certificado de residencia legalizado o autorizado ante la Embajada o Consulado de Chile en el país respectivo. En el caso de las ciudades que no cuenten con sede consular de Chile, las personas deben presentar un documento oficial legalizado que acredite residencia.</w:t>
      </w:r>
    </w:p>
    <w:p w:rsidR="009828EC" w:rsidRDefault="006F159D"/>
    <w:p w:rsidR="00B869A2" w:rsidRDefault="00B869A2"/>
    <w:p w:rsidR="00B869A2" w:rsidRDefault="00B869A2"/>
    <w:p w:rsidR="00B869A2" w:rsidRDefault="00B869A2"/>
    <w:p w:rsidR="00B869A2" w:rsidRDefault="00B869A2"/>
    <w:p w:rsidR="00B869A2" w:rsidRDefault="00B869A2"/>
    <w:p w:rsidR="00B869A2" w:rsidRDefault="00B869A2">
      <w:r>
        <w:t xml:space="preserve">                                                       </w:t>
      </w:r>
    </w:p>
    <w:p w:rsidR="00B869A2" w:rsidRDefault="00B869A2"/>
    <w:p w:rsidR="00B869A2" w:rsidRDefault="00B869A2"/>
    <w:p w:rsidR="00B869A2" w:rsidRDefault="00B869A2"/>
    <w:p w:rsidR="00B869A2" w:rsidRDefault="00B869A2"/>
    <w:p w:rsidR="00280CEC" w:rsidRDefault="00280CEC" w:rsidP="00B869A2">
      <w:pPr>
        <w:jc w:val="center"/>
        <w:rPr>
          <w:b/>
        </w:rPr>
      </w:pPr>
    </w:p>
    <w:p w:rsidR="00280CEC" w:rsidRDefault="00280CEC" w:rsidP="00B869A2">
      <w:pPr>
        <w:jc w:val="center"/>
        <w:rPr>
          <w:b/>
        </w:rPr>
      </w:pPr>
    </w:p>
    <w:p w:rsidR="00280CEC" w:rsidRDefault="00280CEC" w:rsidP="00B869A2">
      <w:pPr>
        <w:jc w:val="center"/>
        <w:rPr>
          <w:b/>
        </w:rPr>
      </w:pPr>
    </w:p>
    <w:p w:rsidR="00280CEC" w:rsidRDefault="00280CEC" w:rsidP="00B869A2">
      <w:pPr>
        <w:jc w:val="center"/>
        <w:rPr>
          <w:b/>
        </w:rPr>
      </w:pPr>
    </w:p>
    <w:p w:rsidR="00280CEC" w:rsidRDefault="00280CEC" w:rsidP="00B869A2">
      <w:pPr>
        <w:jc w:val="center"/>
        <w:rPr>
          <w:b/>
        </w:rPr>
      </w:pPr>
    </w:p>
    <w:p w:rsidR="00B869A2" w:rsidRPr="00B869A2" w:rsidRDefault="00B869A2" w:rsidP="00B869A2">
      <w:pPr>
        <w:jc w:val="center"/>
        <w:rPr>
          <w:b/>
        </w:rPr>
      </w:pPr>
      <w:bookmarkStart w:id="0" w:name="_GoBack"/>
      <w:bookmarkEnd w:id="0"/>
      <w:r w:rsidRPr="00B869A2">
        <w:rPr>
          <w:b/>
        </w:rPr>
        <w:t>Teléfono Unidad de Vivienda de La Reina 22 5927279 /  22 5927306</w:t>
      </w:r>
    </w:p>
    <w:sectPr w:rsidR="00B869A2" w:rsidRPr="00B869A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9D" w:rsidRDefault="006F159D" w:rsidP="00B869A2">
      <w:pPr>
        <w:spacing w:after="0" w:line="240" w:lineRule="auto"/>
      </w:pPr>
      <w:r>
        <w:separator/>
      </w:r>
    </w:p>
  </w:endnote>
  <w:endnote w:type="continuationSeparator" w:id="0">
    <w:p w:rsidR="006F159D" w:rsidRDefault="006F159D" w:rsidP="00B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regular">
    <w:altName w:val="Times New Roman"/>
    <w:panose1 w:val="00000000000000000000"/>
    <w:charset w:val="00"/>
    <w:family w:val="roman"/>
    <w:notTrueType/>
    <w:pitch w:val="default"/>
  </w:font>
  <w:font w:name="gobcl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9D" w:rsidRDefault="006F159D" w:rsidP="00B869A2">
      <w:pPr>
        <w:spacing w:after="0" w:line="240" w:lineRule="auto"/>
      </w:pPr>
      <w:r>
        <w:separator/>
      </w:r>
    </w:p>
  </w:footnote>
  <w:footnote w:type="continuationSeparator" w:id="0">
    <w:p w:rsidR="006F159D" w:rsidRDefault="006F159D" w:rsidP="00B8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A2" w:rsidRDefault="00B869A2">
    <w:pPr>
      <w:pStyle w:val="Encabezado"/>
      <w:rPr>
        <w:noProof/>
        <w:lang w:eastAsia="es-CL"/>
      </w:rPr>
    </w:pPr>
  </w:p>
  <w:p w:rsidR="00B869A2" w:rsidRDefault="00B869A2">
    <w:pPr>
      <w:pStyle w:val="Encabezado"/>
    </w:pPr>
    <w:r>
      <w:rPr>
        <w:noProof/>
        <w:lang w:eastAsia="es-CL"/>
      </w:rPr>
      <w:drawing>
        <wp:inline distT="0" distB="0" distL="0" distR="0">
          <wp:extent cx="1085850" cy="38178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l="2667" t="28000" b="37778"/>
                  <a:stretch/>
                </pic:blipFill>
                <pic:spPr bwMode="auto">
                  <a:xfrm>
                    <a:off x="0" y="0"/>
                    <a:ext cx="1085850" cy="381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6CB"/>
    <w:multiLevelType w:val="multilevel"/>
    <w:tmpl w:val="CDE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D7F52"/>
    <w:multiLevelType w:val="multilevel"/>
    <w:tmpl w:val="64B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257E6"/>
    <w:multiLevelType w:val="multilevel"/>
    <w:tmpl w:val="B080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C5C5F"/>
    <w:multiLevelType w:val="multilevel"/>
    <w:tmpl w:val="DDB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A2"/>
    <w:rsid w:val="00280CEC"/>
    <w:rsid w:val="003E1EA5"/>
    <w:rsid w:val="006F159D"/>
    <w:rsid w:val="00B2100B"/>
    <w:rsid w:val="00B869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6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280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B869A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69A2"/>
    <w:rPr>
      <w:rFonts w:ascii="Times New Roman" w:eastAsia="Times New Roman" w:hAnsi="Times New Roman" w:cs="Times New Roman"/>
      <w:b/>
      <w:bCs/>
      <w:kern w:val="36"/>
      <w:sz w:val="48"/>
      <w:szCs w:val="48"/>
      <w:lang w:eastAsia="es-CL"/>
    </w:rPr>
  </w:style>
  <w:style w:type="character" w:customStyle="1" w:styleId="Ttulo5Car">
    <w:name w:val="Título 5 Car"/>
    <w:basedOn w:val="Fuentedeprrafopredeter"/>
    <w:link w:val="Ttulo5"/>
    <w:uiPriority w:val="9"/>
    <w:rsid w:val="00B869A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B869A2"/>
    <w:rPr>
      <w:color w:val="0000FF"/>
      <w:u w:val="single"/>
    </w:rPr>
  </w:style>
  <w:style w:type="paragraph" w:styleId="Textodeglobo">
    <w:name w:val="Balloon Text"/>
    <w:basedOn w:val="Normal"/>
    <w:link w:val="TextodegloboCar"/>
    <w:uiPriority w:val="99"/>
    <w:semiHidden/>
    <w:unhideWhenUsed/>
    <w:rsid w:val="00B86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9A2"/>
    <w:rPr>
      <w:rFonts w:ascii="Tahoma" w:hAnsi="Tahoma" w:cs="Tahoma"/>
      <w:sz w:val="16"/>
      <w:szCs w:val="16"/>
    </w:rPr>
  </w:style>
  <w:style w:type="paragraph" w:styleId="Encabezado">
    <w:name w:val="header"/>
    <w:basedOn w:val="Normal"/>
    <w:link w:val="EncabezadoCar"/>
    <w:uiPriority w:val="99"/>
    <w:unhideWhenUsed/>
    <w:rsid w:val="00B86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9A2"/>
  </w:style>
  <w:style w:type="paragraph" w:styleId="Piedepgina">
    <w:name w:val="footer"/>
    <w:basedOn w:val="Normal"/>
    <w:link w:val="PiedepginaCar"/>
    <w:uiPriority w:val="99"/>
    <w:unhideWhenUsed/>
    <w:rsid w:val="00B86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A2"/>
  </w:style>
  <w:style w:type="character" w:customStyle="1" w:styleId="Ttulo2Car">
    <w:name w:val="Título 2 Car"/>
    <w:basedOn w:val="Fuentedeprrafopredeter"/>
    <w:link w:val="Ttulo2"/>
    <w:uiPriority w:val="9"/>
    <w:semiHidden/>
    <w:rsid w:val="00280CEC"/>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280C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6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280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B869A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69A2"/>
    <w:rPr>
      <w:rFonts w:ascii="Times New Roman" w:eastAsia="Times New Roman" w:hAnsi="Times New Roman" w:cs="Times New Roman"/>
      <w:b/>
      <w:bCs/>
      <w:kern w:val="36"/>
      <w:sz w:val="48"/>
      <w:szCs w:val="48"/>
      <w:lang w:eastAsia="es-CL"/>
    </w:rPr>
  </w:style>
  <w:style w:type="character" w:customStyle="1" w:styleId="Ttulo5Car">
    <w:name w:val="Título 5 Car"/>
    <w:basedOn w:val="Fuentedeprrafopredeter"/>
    <w:link w:val="Ttulo5"/>
    <w:uiPriority w:val="9"/>
    <w:rsid w:val="00B869A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B869A2"/>
    <w:rPr>
      <w:color w:val="0000FF"/>
      <w:u w:val="single"/>
    </w:rPr>
  </w:style>
  <w:style w:type="paragraph" w:styleId="Textodeglobo">
    <w:name w:val="Balloon Text"/>
    <w:basedOn w:val="Normal"/>
    <w:link w:val="TextodegloboCar"/>
    <w:uiPriority w:val="99"/>
    <w:semiHidden/>
    <w:unhideWhenUsed/>
    <w:rsid w:val="00B86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9A2"/>
    <w:rPr>
      <w:rFonts w:ascii="Tahoma" w:hAnsi="Tahoma" w:cs="Tahoma"/>
      <w:sz w:val="16"/>
      <w:szCs w:val="16"/>
    </w:rPr>
  </w:style>
  <w:style w:type="paragraph" w:styleId="Encabezado">
    <w:name w:val="header"/>
    <w:basedOn w:val="Normal"/>
    <w:link w:val="EncabezadoCar"/>
    <w:uiPriority w:val="99"/>
    <w:unhideWhenUsed/>
    <w:rsid w:val="00B86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9A2"/>
  </w:style>
  <w:style w:type="paragraph" w:styleId="Piedepgina">
    <w:name w:val="footer"/>
    <w:basedOn w:val="Normal"/>
    <w:link w:val="PiedepginaCar"/>
    <w:uiPriority w:val="99"/>
    <w:unhideWhenUsed/>
    <w:rsid w:val="00B86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A2"/>
  </w:style>
  <w:style w:type="character" w:customStyle="1" w:styleId="Ttulo2Car">
    <w:name w:val="Título 2 Car"/>
    <w:basedOn w:val="Fuentedeprrafopredeter"/>
    <w:link w:val="Ttulo2"/>
    <w:uiPriority w:val="9"/>
    <w:semiHidden/>
    <w:rsid w:val="00280CEC"/>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280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1751">
      <w:bodyDiv w:val="1"/>
      <w:marLeft w:val="0"/>
      <w:marRight w:val="0"/>
      <w:marTop w:val="0"/>
      <w:marBottom w:val="0"/>
      <w:divBdr>
        <w:top w:val="none" w:sz="0" w:space="0" w:color="auto"/>
        <w:left w:val="none" w:sz="0" w:space="0" w:color="auto"/>
        <w:bottom w:val="none" w:sz="0" w:space="0" w:color="auto"/>
        <w:right w:val="none" w:sz="0" w:space="0" w:color="auto"/>
      </w:divBdr>
      <w:divsChild>
        <w:div w:id="403838351">
          <w:marLeft w:val="0"/>
          <w:marRight w:val="0"/>
          <w:marTop w:val="0"/>
          <w:marBottom w:val="0"/>
          <w:divBdr>
            <w:top w:val="none" w:sz="0" w:space="0" w:color="auto"/>
            <w:left w:val="none" w:sz="0" w:space="0" w:color="auto"/>
            <w:bottom w:val="none" w:sz="0" w:space="0" w:color="auto"/>
            <w:right w:val="none" w:sz="0" w:space="0" w:color="auto"/>
          </w:divBdr>
          <w:divsChild>
            <w:div w:id="534730568">
              <w:marLeft w:val="0"/>
              <w:marRight w:val="0"/>
              <w:marTop w:val="0"/>
              <w:marBottom w:val="0"/>
              <w:divBdr>
                <w:top w:val="none" w:sz="0" w:space="0" w:color="auto"/>
                <w:left w:val="none" w:sz="0" w:space="0" w:color="auto"/>
                <w:bottom w:val="none" w:sz="0" w:space="0" w:color="auto"/>
                <w:right w:val="none" w:sz="0" w:space="0" w:color="auto"/>
              </w:divBdr>
              <w:divsChild>
                <w:div w:id="962806137">
                  <w:marLeft w:val="0"/>
                  <w:marRight w:val="0"/>
                  <w:marTop w:val="0"/>
                  <w:marBottom w:val="0"/>
                  <w:divBdr>
                    <w:top w:val="none" w:sz="0" w:space="0" w:color="auto"/>
                    <w:left w:val="none" w:sz="0" w:space="0" w:color="auto"/>
                    <w:bottom w:val="none" w:sz="0" w:space="0" w:color="auto"/>
                    <w:right w:val="none" w:sz="0" w:space="0" w:color="auto"/>
                  </w:divBdr>
                </w:div>
                <w:div w:id="1003164171">
                  <w:marLeft w:val="0"/>
                  <w:marRight w:val="0"/>
                  <w:marTop w:val="0"/>
                  <w:marBottom w:val="0"/>
                  <w:divBdr>
                    <w:top w:val="none" w:sz="0" w:space="0" w:color="auto"/>
                    <w:left w:val="none" w:sz="0" w:space="0" w:color="auto"/>
                    <w:bottom w:val="none" w:sz="0" w:space="0" w:color="auto"/>
                    <w:right w:val="none" w:sz="0" w:space="0" w:color="auto"/>
                  </w:divBdr>
                </w:div>
                <w:div w:id="1607735249">
                  <w:marLeft w:val="0"/>
                  <w:marRight w:val="0"/>
                  <w:marTop w:val="0"/>
                  <w:marBottom w:val="0"/>
                  <w:divBdr>
                    <w:top w:val="none" w:sz="0" w:space="0" w:color="auto"/>
                    <w:left w:val="none" w:sz="0" w:space="0" w:color="auto"/>
                    <w:bottom w:val="none" w:sz="0" w:space="0" w:color="auto"/>
                    <w:right w:val="none" w:sz="0" w:space="0" w:color="auto"/>
                  </w:divBdr>
                  <w:divsChild>
                    <w:div w:id="1300844836">
                      <w:marLeft w:val="0"/>
                      <w:marRight w:val="0"/>
                      <w:marTop w:val="0"/>
                      <w:marBottom w:val="0"/>
                      <w:divBdr>
                        <w:top w:val="none" w:sz="0" w:space="0" w:color="auto"/>
                        <w:left w:val="none" w:sz="0" w:space="0" w:color="auto"/>
                        <w:bottom w:val="none" w:sz="0" w:space="0" w:color="auto"/>
                        <w:right w:val="none" w:sz="0" w:space="0" w:color="auto"/>
                      </w:divBdr>
                    </w:div>
                  </w:divsChild>
                </w:div>
                <w:div w:id="9683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6071">
      <w:bodyDiv w:val="1"/>
      <w:marLeft w:val="0"/>
      <w:marRight w:val="0"/>
      <w:marTop w:val="0"/>
      <w:marBottom w:val="0"/>
      <w:divBdr>
        <w:top w:val="none" w:sz="0" w:space="0" w:color="auto"/>
        <w:left w:val="none" w:sz="0" w:space="0" w:color="auto"/>
        <w:bottom w:val="none" w:sz="0" w:space="0" w:color="auto"/>
        <w:right w:val="none" w:sz="0" w:space="0" w:color="auto"/>
      </w:divBdr>
      <w:divsChild>
        <w:div w:id="1287079019">
          <w:marLeft w:val="0"/>
          <w:marRight w:val="0"/>
          <w:marTop w:val="0"/>
          <w:marBottom w:val="0"/>
          <w:divBdr>
            <w:top w:val="none" w:sz="0" w:space="0" w:color="auto"/>
            <w:left w:val="none" w:sz="0" w:space="0" w:color="auto"/>
            <w:bottom w:val="none" w:sz="0" w:space="0" w:color="auto"/>
            <w:right w:val="none" w:sz="0" w:space="0" w:color="auto"/>
          </w:divBdr>
          <w:divsChild>
            <w:div w:id="1930455700">
              <w:marLeft w:val="0"/>
              <w:marRight w:val="0"/>
              <w:marTop w:val="0"/>
              <w:marBottom w:val="0"/>
              <w:divBdr>
                <w:top w:val="none" w:sz="0" w:space="0" w:color="auto"/>
                <w:left w:val="none" w:sz="0" w:space="0" w:color="auto"/>
                <w:bottom w:val="none" w:sz="0" w:space="0" w:color="auto"/>
                <w:right w:val="none" w:sz="0" w:space="0" w:color="auto"/>
              </w:divBdr>
              <w:divsChild>
                <w:div w:id="1346135487">
                  <w:marLeft w:val="0"/>
                  <w:marRight w:val="0"/>
                  <w:marTop w:val="0"/>
                  <w:marBottom w:val="0"/>
                  <w:divBdr>
                    <w:top w:val="none" w:sz="0" w:space="0" w:color="auto"/>
                    <w:left w:val="none" w:sz="0" w:space="0" w:color="auto"/>
                    <w:bottom w:val="none" w:sz="0" w:space="0" w:color="auto"/>
                    <w:right w:val="none" w:sz="0" w:space="0" w:color="auto"/>
                  </w:divBdr>
                </w:div>
                <w:div w:id="1656883580">
                  <w:marLeft w:val="0"/>
                  <w:marRight w:val="0"/>
                  <w:marTop w:val="0"/>
                  <w:marBottom w:val="0"/>
                  <w:divBdr>
                    <w:top w:val="none" w:sz="0" w:space="0" w:color="auto"/>
                    <w:left w:val="none" w:sz="0" w:space="0" w:color="auto"/>
                    <w:bottom w:val="none" w:sz="0" w:space="0" w:color="auto"/>
                    <w:right w:val="none" w:sz="0" w:space="0" w:color="auto"/>
                  </w:divBdr>
                </w:div>
                <w:div w:id="1160342439">
                  <w:marLeft w:val="0"/>
                  <w:marRight w:val="0"/>
                  <w:marTop w:val="0"/>
                  <w:marBottom w:val="0"/>
                  <w:divBdr>
                    <w:top w:val="none" w:sz="0" w:space="0" w:color="auto"/>
                    <w:left w:val="none" w:sz="0" w:space="0" w:color="auto"/>
                    <w:bottom w:val="none" w:sz="0" w:space="0" w:color="auto"/>
                    <w:right w:val="none" w:sz="0" w:space="0" w:color="auto"/>
                  </w:divBdr>
                </w:div>
                <w:div w:id="842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neficios.minvu.gob.cl/category/calendario-de-llamados/" TargetMode="External"/><Relationship Id="rId4" Type="http://schemas.openxmlformats.org/officeDocument/2006/relationships/settings" Target="settings.xml"/><Relationship Id="rId9" Type="http://schemas.openxmlformats.org/officeDocument/2006/relationships/hyperlink" Target="http://www.registrosocial.gob.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Vargas</dc:creator>
  <cp:lastModifiedBy>Marina Vargas</cp:lastModifiedBy>
  <cp:revision>2</cp:revision>
  <dcterms:created xsi:type="dcterms:W3CDTF">2017-10-26T14:25:00Z</dcterms:created>
  <dcterms:modified xsi:type="dcterms:W3CDTF">2017-10-26T14:25:00Z</dcterms:modified>
</cp:coreProperties>
</file>